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83BBF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INDICAÇÃO Nº ____/2025</w:t>
      </w:r>
    </w:p>
    <w:p w14:paraId="2B591170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</w:p>
    <w:p w14:paraId="12FEC3B1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Senhor Presidente,</w:t>
      </w:r>
    </w:p>
    <w:p w14:paraId="52A61426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Senhores Vereadores, Senhora Vereadora,</w:t>
      </w:r>
    </w:p>
    <w:p w14:paraId="394DEDC5" w14:textId="77777777" w:rsidR="002D2E0D" w:rsidRPr="002D2E0D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4BE7A4BE" w14:textId="6CF6209C" w:rsidR="002D2E0D" w:rsidRPr="00B24291" w:rsidRDefault="002D2E0D" w:rsidP="00B24291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2D2E0D">
        <w:rPr>
          <w:sz w:val="24"/>
          <w:szCs w:val="24"/>
        </w:rPr>
        <w:t xml:space="preserve">O Vereador que esta subscreve, NATANAEL DIAS DE SOUSA, no uso de suas atribuições regimentais e legais, vem, respeitosamente, à presença de Vossa Excelência, </w:t>
      </w:r>
      <w:r w:rsidRPr="00B24291">
        <w:rPr>
          <w:b/>
          <w:bCs/>
          <w:sz w:val="24"/>
          <w:szCs w:val="24"/>
        </w:rPr>
        <w:t>indicar a necessidade e a conveniência de o Poder Executivo Municipal encaminhar à Casa Legislativa Projeto de Lei que dispõe sobre a criação da Superintendência de Trânsito – SUTRAN de Almenara e da Junta Administrativa de Recursos de Infração – JARI, conforme minuta sugestiva que acompanha a presente indicação.</w:t>
      </w:r>
    </w:p>
    <w:p w14:paraId="12227461" w14:textId="10A7EFDB" w:rsidR="002D2E0D" w:rsidRPr="002D2E0D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2D2E0D">
        <w:rPr>
          <w:sz w:val="24"/>
          <w:szCs w:val="24"/>
        </w:rPr>
        <w:t>Câmara Municipal de Almenara-MG, 03 de julho de 2025.</w:t>
      </w:r>
    </w:p>
    <w:p w14:paraId="4ED761FD" w14:textId="588B6CE5" w:rsidR="002D2E0D" w:rsidRPr="002D2E0D" w:rsidRDefault="002D2E0D" w:rsidP="00B24291">
      <w:pPr>
        <w:pStyle w:val="SemEspaamento"/>
        <w:spacing w:line="360" w:lineRule="auto"/>
        <w:jc w:val="center"/>
        <w:rPr>
          <w:sz w:val="24"/>
          <w:szCs w:val="24"/>
        </w:rPr>
      </w:pPr>
    </w:p>
    <w:p w14:paraId="37D6FBF4" w14:textId="77DD6262" w:rsidR="002D2E0D" w:rsidRPr="002D2E0D" w:rsidRDefault="00B24291" w:rsidP="00B24291">
      <w:pPr>
        <w:pStyle w:val="SemEspaamento"/>
        <w:spacing w:line="360" w:lineRule="auto"/>
        <w:jc w:val="center"/>
        <w:rPr>
          <w:sz w:val="24"/>
          <w:szCs w:val="24"/>
        </w:rPr>
      </w:pPr>
      <w:r w:rsidRPr="002D2E0D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7F353D6" wp14:editId="0761B81B">
            <wp:simplePos x="0" y="0"/>
            <wp:positionH relativeFrom="column">
              <wp:posOffset>1788160</wp:posOffset>
            </wp:positionH>
            <wp:positionV relativeFrom="paragraph">
              <wp:posOffset>3810</wp:posOffset>
            </wp:positionV>
            <wp:extent cx="1212215" cy="752475"/>
            <wp:effectExtent l="0" t="0" r="0" b="0"/>
            <wp:wrapNone/>
            <wp:docPr id="1672347250" name="Imagem 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1" descr="C:\Users\Sergio\Documents\Google Drive\ARQUIVOS SÉRGIO\ASSINATURA DIGITAL NATA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C9FB3" w14:textId="77777777" w:rsidR="002D2E0D" w:rsidRPr="002D2E0D" w:rsidRDefault="002D2E0D" w:rsidP="00B24291">
      <w:pPr>
        <w:pStyle w:val="SemEspaamento"/>
        <w:spacing w:line="360" w:lineRule="auto"/>
        <w:jc w:val="center"/>
        <w:rPr>
          <w:sz w:val="24"/>
          <w:szCs w:val="24"/>
        </w:rPr>
      </w:pPr>
    </w:p>
    <w:p w14:paraId="26D76AA0" w14:textId="77777777" w:rsidR="002D2E0D" w:rsidRPr="002D2E0D" w:rsidRDefault="002D2E0D" w:rsidP="00B24291">
      <w:pPr>
        <w:pStyle w:val="SemEspaamento"/>
        <w:spacing w:line="360" w:lineRule="auto"/>
        <w:jc w:val="center"/>
        <w:rPr>
          <w:sz w:val="24"/>
          <w:szCs w:val="24"/>
        </w:rPr>
      </w:pPr>
      <w:r w:rsidRPr="002D2E0D">
        <w:rPr>
          <w:sz w:val="24"/>
          <w:szCs w:val="24"/>
        </w:rPr>
        <w:t>___________________________________________</w:t>
      </w:r>
    </w:p>
    <w:p w14:paraId="31223260" w14:textId="77777777" w:rsidR="002D2E0D" w:rsidRPr="002D2E0D" w:rsidRDefault="002D2E0D" w:rsidP="00B24291">
      <w:pPr>
        <w:pStyle w:val="SemEspaamento"/>
        <w:spacing w:line="360" w:lineRule="auto"/>
        <w:jc w:val="center"/>
        <w:rPr>
          <w:sz w:val="24"/>
          <w:szCs w:val="24"/>
        </w:rPr>
      </w:pPr>
      <w:r w:rsidRPr="002D2E0D">
        <w:rPr>
          <w:sz w:val="24"/>
          <w:szCs w:val="24"/>
        </w:rPr>
        <w:t>NATANAEL DIAS DE SOUSA</w:t>
      </w:r>
    </w:p>
    <w:p w14:paraId="64ABDADE" w14:textId="77777777" w:rsidR="002D2E0D" w:rsidRPr="002D2E0D" w:rsidRDefault="002D2E0D" w:rsidP="00B24291">
      <w:pPr>
        <w:spacing w:before="240" w:after="240" w:line="360" w:lineRule="auto"/>
        <w:jc w:val="center"/>
        <w:rPr>
          <w:sz w:val="24"/>
          <w:szCs w:val="24"/>
        </w:rPr>
      </w:pPr>
    </w:p>
    <w:p w14:paraId="19B522A2" w14:textId="6472CADA" w:rsidR="002D2E0D" w:rsidRPr="002D2E0D" w:rsidRDefault="002D2E0D" w:rsidP="00B24291">
      <w:pPr>
        <w:spacing w:before="240" w:after="240" w:line="360" w:lineRule="auto"/>
        <w:ind w:firstLine="1134"/>
        <w:jc w:val="both"/>
        <w:rPr>
          <w:sz w:val="24"/>
          <w:szCs w:val="24"/>
        </w:rPr>
      </w:pPr>
      <w:r w:rsidRPr="002D2E0D">
        <w:rPr>
          <w:sz w:val="24"/>
          <w:szCs w:val="24"/>
        </w:rPr>
        <w:t>JUSTIFICATIVA: A presente proposição visa aprimorar a gestão do trânsito em nosso município, conferindo-lhe a estrutura e a autonomia necessárias para um planejamento e execução eficazes das políticas de mobilidade urbana. A crescente frota de veículos e o aumento do fluxo de pedestres em Almenara demandam uma atuação mais especializada e coordenada por parte do Poder Público, a fim de garantir a segurança, a fluidez e a organização do tráfego.</w:t>
      </w:r>
    </w:p>
    <w:p w14:paraId="68FA461E" w14:textId="77777777" w:rsidR="002D2E0D" w:rsidRPr="002D2E0D" w:rsidRDefault="002D2E0D">
      <w:pPr>
        <w:spacing w:before="240" w:after="240"/>
        <w:jc w:val="center"/>
        <w:rPr>
          <w:sz w:val="24"/>
          <w:szCs w:val="24"/>
        </w:rPr>
      </w:pPr>
    </w:p>
    <w:p w14:paraId="71A09C37" w14:textId="77777777" w:rsidR="002D2E0D" w:rsidRPr="002D2E0D" w:rsidRDefault="002D2E0D">
      <w:pPr>
        <w:spacing w:before="240" w:after="240"/>
        <w:jc w:val="center"/>
        <w:rPr>
          <w:sz w:val="24"/>
          <w:szCs w:val="24"/>
        </w:rPr>
      </w:pPr>
    </w:p>
    <w:p w14:paraId="1A1CE1F1" w14:textId="77777777" w:rsidR="00B24291" w:rsidRDefault="00B24291">
      <w:pPr>
        <w:spacing w:before="240" w:after="240"/>
        <w:jc w:val="center"/>
        <w:rPr>
          <w:sz w:val="24"/>
          <w:szCs w:val="24"/>
        </w:rPr>
      </w:pPr>
    </w:p>
    <w:p w14:paraId="37C014A5" w14:textId="611B27DA" w:rsidR="00B54F79" w:rsidRPr="002D2E0D" w:rsidRDefault="002D2E0D">
      <w:pPr>
        <w:spacing w:before="240" w:after="240"/>
        <w:jc w:val="center"/>
        <w:rPr>
          <w:sz w:val="24"/>
          <w:szCs w:val="24"/>
        </w:rPr>
      </w:pPr>
      <w:r w:rsidRPr="002D2E0D">
        <w:rPr>
          <w:sz w:val="24"/>
          <w:szCs w:val="24"/>
        </w:rPr>
        <w:lastRenderedPageBreak/>
        <w:t>Projeto de LEI Nº _____/2025</w:t>
      </w:r>
    </w:p>
    <w:p w14:paraId="5EE4C532" w14:textId="77777777" w:rsidR="00B54F79" w:rsidRPr="002D2E0D" w:rsidRDefault="00000000">
      <w:pPr>
        <w:spacing w:before="240" w:after="240"/>
        <w:ind w:left="3259"/>
        <w:jc w:val="both"/>
        <w:rPr>
          <w:sz w:val="24"/>
          <w:szCs w:val="24"/>
        </w:rPr>
      </w:pPr>
      <w:r w:rsidRPr="002D2E0D">
        <w:rPr>
          <w:sz w:val="24"/>
          <w:szCs w:val="24"/>
        </w:rPr>
        <w:t>Dispõe sobre a criação da Superintendência de Trânsito – SUTRAN de Almenara e da Junta Administrativa de Recursos de Infração – JARI e dá outras providências.</w:t>
      </w:r>
    </w:p>
    <w:p w14:paraId="096E0568" w14:textId="77777777" w:rsidR="00B54F79" w:rsidRPr="002D2E0D" w:rsidRDefault="00000000">
      <w:pPr>
        <w:spacing w:before="240" w:after="240"/>
        <w:jc w:val="both"/>
        <w:rPr>
          <w:sz w:val="24"/>
          <w:szCs w:val="24"/>
        </w:rPr>
      </w:pPr>
      <w:r w:rsidRPr="002D2E0D">
        <w:rPr>
          <w:sz w:val="24"/>
          <w:szCs w:val="24"/>
        </w:rPr>
        <w:t>Eduardo Oliveira Brasileiro, Prefeito Municipal de Almenara, Minas Gerais, no uso de suas atribuições legais;</w:t>
      </w:r>
    </w:p>
    <w:p w14:paraId="5CD20C05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1º – Fica criado na estrutura administrativa da Prefeitura Municipal de Almenara – MG, vinculado à Secretaria Municipal de Obras, a Superintendência de Trânsito (SUTRAN), órgão municipal executivo de trânsito e rodoviário.</w:t>
      </w:r>
    </w:p>
    <w:p w14:paraId="01240039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2º – Compete à Superintendência de Trânsito – SUTRAN:</w:t>
      </w:r>
      <w:r w:rsidRPr="002D2E0D">
        <w:rPr>
          <w:sz w:val="24"/>
          <w:szCs w:val="24"/>
        </w:rPr>
        <w:br/>
        <w:t>I – Cumprir e fazer cumprir a legislação e as normas de trânsito, no âmbito de suas atribuições;</w:t>
      </w:r>
      <w:r w:rsidRPr="002D2E0D">
        <w:rPr>
          <w:sz w:val="24"/>
          <w:szCs w:val="24"/>
        </w:rPr>
        <w:br/>
        <w:t>II – Planejar, projetar, regulamentar e operar o trânsito de veículos, pedestres e animais, e promover o desenvolvimento da circulação e segurança de ciclistas;</w:t>
      </w:r>
      <w:r w:rsidRPr="002D2E0D">
        <w:rPr>
          <w:sz w:val="24"/>
          <w:szCs w:val="24"/>
        </w:rPr>
        <w:br/>
        <w:t>III – Implantar, manter e operar o sistema de sinalização, os dispositivos e equipamentos de controle viário;</w:t>
      </w:r>
      <w:r w:rsidRPr="002D2E0D">
        <w:rPr>
          <w:sz w:val="24"/>
          <w:szCs w:val="24"/>
        </w:rPr>
        <w:br/>
        <w:t>IV – Coletar dados estatísticos e elaborar estudos sobre os acidentes de trânsito e suas causas;</w:t>
      </w:r>
      <w:r w:rsidRPr="002D2E0D">
        <w:rPr>
          <w:sz w:val="24"/>
          <w:szCs w:val="24"/>
        </w:rPr>
        <w:br/>
        <w:t>V – Estabelecer, em conjunto com órgão de polícia de trânsito, as diretrizes para o policiamento ostensivo de trânsito;</w:t>
      </w:r>
      <w:r w:rsidRPr="002D2E0D">
        <w:rPr>
          <w:sz w:val="24"/>
          <w:szCs w:val="24"/>
        </w:rPr>
        <w:br/>
        <w:t>VI – Executar a fiscalização de trânsito, autuar e aplicar as medidas administrativas cabíveis por infração de circulação, estacionamento e paradas, previstas no Código de Trânsito Brasileiro, no exercício regular do Poder de Polícia de Trânsito;</w:t>
      </w:r>
      <w:r w:rsidRPr="002D2E0D">
        <w:rPr>
          <w:sz w:val="24"/>
          <w:szCs w:val="24"/>
        </w:rPr>
        <w:br/>
        <w:t>VII – Aplicar as penalidades de advertência por escrito, autuar e multar por infrações de circulação, estacionamento e parada previstas no Código de Trânsito Brasileiro, notificando os infratores e arrecadando as multas aplicadas;</w:t>
      </w:r>
      <w:r w:rsidRPr="002D2E0D">
        <w:rPr>
          <w:sz w:val="24"/>
          <w:szCs w:val="24"/>
        </w:rPr>
        <w:br/>
        <w:t>VIII – Fiscalizar, autuar e aplicar as penalidades e medidas administrativas cabíveis, relativas às infrações por excesso de peso, dimensão e lotação dos veículos, bem como notificar e arrecadar as multas aplicadas;</w:t>
      </w:r>
      <w:r w:rsidRPr="002D2E0D">
        <w:rPr>
          <w:sz w:val="24"/>
          <w:szCs w:val="24"/>
        </w:rPr>
        <w:br/>
        <w:t>IX – Fiscalizar o cumprimento do disposto no artigo 95, da Lei Federal nº 9.503, de 23-9-1997, aplicando as penalidades e arrecadando as multas previstas;</w:t>
      </w:r>
      <w:r w:rsidRPr="002D2E0D">
        <w:rPr>
          <w:sz w:val="24"/>
          <w:szCs w:val="24"/>
        </w:rPr>
        <w:br/>
        <w:t>X – Arrecadar valores provenientes de estada e remoção de veículos e objetos, e escolta de veículos de cargas superdimensionadas ou perigosas;</w:t>
      </w:r>
      <w:r w:rsidRPr="002D2E0D">
        <w:rPr>
          <w:sz w:val="24"/>
          <w:szCs w:val="24"/>
        </w:rPr>
        <w:br/>
        <w:t>XI – Credenciar os serviços de escoltas, fiscalizar e adotar medidas de segurança relativas aos serviços de remoção de veículos, escoltas, e transportes de carga indivisível;</w:t>
      </w:r>
      <w:r w:rsidRPr="002D2E0D">
        <w:rPr>
          <w:sz w:val="24"/>
          <w:szCs w:val="24"/>
        </w:rPr>
        <w:br/>
      </w:r>
      <w:r w:rsidRPr="002D2E0D">
        <w:rPr>
          <w:sz w:val="24"/>
          <w:szCs w:val="24"/>
        </w:rPr>
        <w:lastRenderedPageBreak/>
        <w:t>XII – Integrar-se a outros órgãos e entidades do Sistema Nacional de Trânsito para fins de arrecadação e compensação de multas impostas na área de sua competência, com vistas à unificação do licenciamento, à simplificação e à celeridade das transferências de veículos e de proprietários dos condutores, de uma para outra unidade da federação;</w:t>
      </w:r>
      <w:r w:rsidRPr="002D2E0D">
        <w:rPr>
          <w:sz w:val="24"/>
          <w:szCs w:val="24"/>
        </w:rPr>
        <w:br/>
        <w:t>XIII – Implantar as medidas da Política Nacional de Trânsito e do Programa Nacional de Trânsito;</w:t>
      </w:r>
      <w:r w:rsidRPr="002D2E0D">
        <w:rPr>
          <w:sz w:val="24"/>
          <w:szCs w:val="24"/>
        </w:rPr>
        <w:br/>
        <w:t>XIV – Promover e participar de projetos e programas de Educação e Segurança de Trânsito, de acordo com as diretrizes estabelecidas pelo CONTRAN;</w:t>
      </w:r>
      <w:r w:rsidRPr="002D2E0D">
        <w:rPr>
          <w:sz w:val="24"/>
          <w:szCs w:val="24"/>
        </w:rPr>
        <w:br/>
        <w:t>XV – Planejar e implantar medidas para a redução da circulação de veículos e orientação do tráfego, com objetivo de diminuir a emissão global de poluentes;</w:t>
      </w:r>
      <w:r w:rsidRPr="002D2E0D">
        <w:rPr>
          <w:sz w:val="24"/>
          <w:szCs w:val="24"/>
        </w:rPr>
        <w:br/>
        <w:t>XVI – Registrar e licenciar, na forma da legislação, ciclomotores, fiscalizando, autuando, aplicando penalidades e arrecadando as multas decorrentes de infrações;</w:t>
      </w:r>
      <w:r w:rsidRPr="002D2E0D">
        <w:rPr>
          <w:sz w:val="24"/>
          <w:szCs w:val="24"/>
        </w:rPr>
        <w:br/>
        <w:t>XVII – Articular-se com os demais órgãos do Sistema Nacional de Trânsito no Estado, sob coordenação do respectivo CETRAN;</w:t>
      </w:r>
      <w:r w:rsidRPr="002D2E0D">
        <w:rPr>
          <w:sz w:val="24"/>
          <w:szCs w:val="24"/>
        </w:rPr>
        <w:br/>
        <w:t>XVIII – Fiscalizar o nível de emissão de poluentes e ruídos produzidos pelos veículos automotores ou pela sua carga, de acordo com o disposto na legislação.</w:t>
      </w:r>
    </w:p>
    <w:p w14:paraId="5D294D77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3º – A Superintendência de Trânsito – SUTRAN será composta pelos seguintes departamentos:</w:t>
      </w:r>
      <w:r w:rsidRPr="002D2E0D">
        <w:rPr>
          <w:sz w:val="24"/>
          <w:szCs w:val="24"/>
        </w:rPr>
        <w:br/>
        <w:t>I – DEng – Departamento de Engenharia de Tráfego e Sinalização;</w:t>
      </w:r>
      <w:r w:rsidRPr="002D2E0D">
        <w:rPr>
          <w:sz w:val="24"/>
          <w:szCs w:val="24"/>
        </w:rPr>
        <w:br/>
        <w:t>II – DFO – Departamento de Fiscalização e Operação de Trânsito;</w:t>
      </w:r>
      <w:r w:rsidRPr="002D2E0D">
        <w:rPr>
          <w:sz w:val="24"/>
          <w:szCs w:val="24"/>
        </w:rPr>
        <w:br/>
        <w:t>III – DET – Departamento de Educação de Trânsito;</w:t>
      </w:r>
      <w:r w:rsidRPr="002D2E0D">
        <w:rPr>
          <w:sz w:val="24"/>
          <w:szCs w:val="24"/>
        </w:rPr>
        <w:br/>
        <w:t>IV – DAtran – Departamento de Administração de Trânsito e Estatísticas.</w:t>
      </w:r>
    </w:p>
    <w:p w14:paraId="148DC85E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4º – Ao Superintendente de Trânsito compete:</w:t>
      </w:r>
      <w:r w:rsidRPr="002D2E0D">
        <w:rPr>
          <w:sz w:val="24"/>
          <w:szCs w:val="24"/>
        </w:rPr>
        <w:br/>
        <w:t>I – A administração e gestão da Superintendência de Trânsito – SUTRAN, implementando planos, programas e projetos;</w:t>
      </w:r>
      <w:r w:rsidRPr="002D2E0D">
        <w:rPr>
          <w:sz w:val="24"/>
          <w:szCs w:val="24"/>
        </w:rPr>
        <w:br/>
        <w:t>II – O planejamento, projeto, regulamentação, educação e operação do trânsito dos usuários das vias públicas nos limites do município.</w:t>
      </w:r>
      <w:r w:rsidRPr="002D2E0D">
        <w:rPr>
          <w:sz w:val="24"/>
          <w:szCs w:val="24"/>
        </w:rPr>
        <w:br/>
        <w:t>Parágrafo único. O Superintendente de Trânsito é a autoridade competente para aplicar as penalidades previstas na legislação de trânsito.</w:t>
      </w:r>
    </w:p>
    <w:p w14:paraId="1E4C7FF0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5º – Ao DEng – Departamento de Engenharia de Tráfego e Sinalização compete:</w:t>
      </w:r>
      <w:r w:rsidRPr="002D2E0D">
        <w:rPr>
          <w:sz w:val="24"/>
          <w:szCs w:val="24"/>
        </w:rPr>
        <w:br/>
        <w:t>I – Planejar e elaborar projetos, bem como coordenar estratégias de estudos do sistema viário;</w:t>
      </w:r>
      <w:r w:rsidRPr="002D2E0D">
        <w:rPr>
          <w:sz w:val="24"/>
          <w:szCs w:val="24"/>
        </w:rPr>
        <w:br/>
        <w:t>II – Planejar o sistema de circulação viária do município;</w:t>
      </w:r>
      <w:r w:rsidRPr="002D2E0D">
        <w:rPr>
          <w:sz w:val="24"/>
          <w:szCs w:val="24"/>
        </w:rPr>
        <w:br/>
        <w:t>III – Proceder a estudos de viabilidade técnica para a implantação de projetos de trânsito;</w:t>
      </w:r>
      <w:r w:rsidRPr="002D2E0D">
        <w:rPr>
          <w:sz w:val="24"/>
          <w:szCs w:val="24"/>
        </w:rPr>
        <w:br/>
        <w:t xml:space="preserve">IV – Integrar-se com os diferentes órgãos públicos para estudos sobre o impacto no </w:t>
      </w:r>
      <w:r w:rsidRPr="002D2E0D">
        <w:rPr>
          <w:sz w:val="24"/>
          <w:szCs w:val="24"/>
        </w:rPr>
        <w:lastRenderedPageBreak/>
        <w:t>sistema viário para aprovação de novos projetos;</w:t>
      </w:r>
      <w:r w:rsidRPr="002D2E0D">
        <w:rPr>
          <w:sz w:val="24"/>
          <w:szCs w:val="24"/>
        </w:rPr>
        <w:br/>
        <w:t>V – Elaborar projetos de engenharia de tráfego, atendendo os padrões a serem praticados por todos os órgãos e entidades do Sistema Nacional de Trânsito, conforme normas do CONTRAN, DENATRAN e CETRAN;</w:t>
      </w:r>
      <w:r w:rsidRPr="002D2E0D">
        <w:rPr>
          <w:sz w:val="24"/>
          <w:szCs w:val="24"/>
        </w:rPr>
        <w:br/>
        <w:t>VI – Controlar a implantação, manutenção e durabilidade da sinalização;</w:t>
      </w:r>
      <w:r w:rsidRPr="002D2E0D">
        <w:rPr>
          <w:sz w:val="24"/>
          <w:szCs w:val="24"/>
        </w:rPr>
        <w:br/>
        <w:t>VII – Acompanhar a implantação dos projetos, bem como avaliar seus resultados.</w:t>
      </w:r>
    </w:p>
    <w:p w14:paraId="77D4E018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6º – Ao DFO – Departamento de Fiscalização e Operação de Trânsito compete:</w:t>
      </w:r>
      <w:r w:rsidRPr="002D2E0D">
        <w:rPr>
          <w:sz w:val="24"/>
          <w:szCs w:val="24"/>
        </w:rPr>
        <w:br/>
        <w:t>I – Realizar fiscalização de trânsito urbano e rodoviário;</w:t>
      </w:r>
      <w:r w:rsidRPr="002D2E0D">
        <w:rPr>
          <w:sz w:val="24"/>
          <w:szCs w:val="24"/>
        </w:rPr>
        <w:br/>
        <w:t>II – Operar em segurança das escolas;</w:t>
      </w:r>
      <w:r w:rsidRPr="002D2E0D">
        <w:rPr>
          <w:sz w:val="24"/>
          <w:szCs w:val="24"/>
        </w:rPr>
        <w:br/>
        <w:t>III – Operar em rotas alternativas;</w:t>
      </w:r>
      <w:r w:rsidRPr="002D2E0D">
        <w:rPr>
          <w:sz w:val="24"/>
          <w:szCs w:val="24"/>
        </w:rPr>
        <w:br/>
        <w:t>IV – Operar em travessia de pedestres e locais de emergência com devida sinalização;</w:t>
      </w:r>
      <w:r w:rsidRPr="002D2E0D">
        <w:rPr>
          <w:sz w:val="24"/>
          <w:szCs w:val="24"/>
        </w:rPr>
        <w:br/>
        <w:t>V – Operar a sinalização (verificação de deficiências na sinalização);</w:t>
      </w:r>
      <w:r w:rsidRPr="002D2E0D">
        <w:rPr>
          <w:sz w:val="24"/>
          <w:szCs w:val="24"/>
        </w:rPr>
        <w:br/>
        <w:t>VI – Realizar fiscalização de todo tipo de transporte, tais como transporte escolar, transporte clandestino de passageiros, moto táxi, moto frete, vans, táxi, veículos de locadoras e outros.</w:t>
      </w:r>
    </w:p>
    <w:p w14:paraId="3CA5E49E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7º – Ao DET – Departamento de Educação de Trânsito compete:</w:t>
      </w:r>
      <w:r w:rsidRPr="002D2E0D">
        <w:rPr>
          <w:sz w:val="24"/>
          <w:szCs w:val="24"/>
        </w:rPr>
        <w:br/>
        <w:t>I – Promover a educação de trânsito junto à Rede Municipal de Ensino, por meio de planejamento e ações coordenadas entre os órgãos e entidades do Sistema Nacional de Trânsito;</w:t>
      </w:r>
      <w:r w:rsidRPr="002D2E0D">
        <w:rPr>
          <w:sz w:val="24"/>
          <w:szCs w:val="24"/>
        </w:rPr>
        <w:br/>
        <w:t>II – Promover campanhas educativas e o funcionamento de escolas públicas de trânsito nos moldes e padrões estabelecidos pelo CONTRAN.</w:t>
      </w:r>
    </w:p>
    <w:p w14:paraId="43404A74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8º – Ao DAtran – Departamento de Administração de Trânsito e Estatísticas compete:</w:t>
      </w:r>
      <w:r w:rsidRPr="002D2E0D">
        <w:rPr>
          <w:sz w:val="24"/>
          <w:szCs w:val="24"/>
        </w:rPr>
        <w:br/>
        <w:t>I – Administrar o controle de utilização dos talões de multa, processamentos dos autos de infração e cobranças das respectivas multas;</w:t>
      </w:r>
      <w:r w:rsidRPr="002D2E0D">
        <w:rPr>
          <w:sz w:val="24"/>
          <w:szCs w:val="24"/>
        </w:rPr>
        <w:br/>
        <w:t>II – Administrar as multas aplicadas por equipamentos eletrônicos;</w:t>
      </w:r>
      <w:r w:rsidRPr="002D2E0D">
        <w:rPr>
          <w:sz w:val="24"/>
          <w:szCs w:val="24"/>
        </w:rPr>
        <w:br/>
        <w:t>III – Controlar as áreas de operação de campo, fiscalização e administração do pátio e veículos;</w:t>
      </w:r>
      <w:r w:rsidRPr="002D2E0D">
        <w:rPr>
          <w:sz w:val="24"/>
          <w:szCs w:val="24"/>
        </w:rPr>
        <w:br/>
        <w:t>IV – Coletar dados estatísticos para elaboração de estudos sobre acidentes de trânsito e suas causas;</w:t>
      </w:r>
      <w:r w:rsidRPr="002D2E0D">
        <w:rPr>
          <w:sz w:val="24"/>
          <w:szCs w:val="24"/>
        </w:rPr>
        <w:br/>
        <w:t>V – Controlar os dados estatísticos da frota circulante do município;</w:t>
      </w:r>
      <w:r w:rsidRPr="002D2E0D">
        <w:rPr>
          <w:sz w:val="24"/>
          <w:szCs w:val="24"/>
        </w:rPr>
        <w:br/>
        <w:t>VI – Controlar os veículos registrados e licenciados no município;</w:t>
      </w:r>
      <w:r w:rsidRPr="002D2E0D">
        <w:rPr>
          <w:sz w:val="24"/>
          <w:szCs w:val="24"/>
        </w:rPr>
        <w:br/>
        <w:t>VII – Elaborar estudos sobre eventos e obras que possam perturbar ou interromper a livre circulação dos usuários do sistema viário.</w:t>
      </w:r>
    </w:p>
    <w:p w14:paraId="147521CE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 xml:space="preserve">Art. 9º – O Poder Executivo fica autorizado a repassar o correspondente a 5% (cinco por cento) da arrecadação das multas de trânsito para o fundo de âmbito nacional </w:t>
      </w:r>
      <w:r w:rsidRPr="002D2E0D">
        <w:rPr>
          <w:sz w:val="24"/>
          <w:szCs w:val="24"/>
        </w:rPr>
        <w:lastRenderedPageBreak/>
        <w:t>destinado à segurança e educação de trânsito, nos termos do parágrafo único, do art. 320, da Lei Federal nº 9.503, de 23-9-1997.</w:t>
      </w:r>
    </w:p>
    <w:p w14:paraId="6C9E9142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10 – Fica criado no Município de Almenara – MG, uma Junta Administrativa de Recursos de Infrações – JARI, responsável pelo julgamento de recursos interpostos contra a penalidade imposta pelo SUTRAN, órgão municipal executivo de trânsito e rodoviário criado nos termos desta lei, e na esfera de sua competência.</w:t>
      </w:r>
    </w:p>
    <w:p w14:paraId="1A377E60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11 – A JARI será composta por três membros titulares e respectivos suplentes, sendo:</w:t>
      </w:r>
      <w:r w:rsidRPr="002D2E0D">
        <w:rPr>
          <w:sz w:val="24"/>
          <w:szCs w:val="24"/>
        </w:rPr>
        <w:br/>
        <w:t>I – Um integrante com conhecimento na área de trânsito com, no mínimo, nível médio de escolaridade;</w:t>
      </w:r>
      <w:r w:rsidRPr="002D2E0D">
        <w:rPr>
          <w:sz w:val="24"/>
          <w:szCs w:val="24"/>
        </w:rPr>
        <w:br/>
        <w:t>II – Um representante servidor do órgão ou entidade que impôs a penalidade;</w:t>
      </w:r>
      <w:r w:rsidRPr="002D2E0D">
        <w:rPr>
          <w:sz w:val="24"/>
          <w:szCs w:val="24"/>
        </w:rPr>
        <w:br/>
        <w:t>III – Um representante de entidade representativa da sociedade ligada à área de trânsito.</w:t>
      </w:r>
      <w:r w:rsidRPr="002D2E0D">
        <w:rPr>
          <w:sz w:val="24"/>
          <w:szCs w:val="24"/>
        </w:rPr>
        <w:br/>
        <w:t>§ 1º O presidente poderá ser qualquer um dos integrantes do colegiado, a critério da autoridade competente para designá-los;</w:t>
      </w:r>
      <w:r w:rsidRPr="002D2E0D">
        <w:rPr>
          <w:sz w:val="24"/>
          <w:szCs w:val="24"/>
        </w:rPr>
        <w:br/>
        <w:t>§ 2º É facultada à suplência;</w:t>
      </w:r>
      <w:r w:rsidRPr="002D2E0D">
        <w:rPr>
          <w:sz w:val="24"/>
          <w:szCs w:val="24"/>
        </w:rPr>
        <w:br/>
        <w:t>§ 3º É vedado ao integrante das JARI compor o Conselho Estadual de Trânsito – CETRAN ou o Conselho de Trânsito do Distrito Federal – CONTRANDIFE.</w:t>
      </w:r>
    </w:p>
    <w:p w14:paraId="5DF7E3D8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12 – A nomeação dos integrantes das JARI que funcionam junto aos órgãos e entidades executivos de trânsito ou rodoviários estaduais e municipais será feita pelo respectivo chefe do Poder Executivo, facultada a delegação.</w:t>
      </w:r>
      <w:r w:rsidRPr="002D2E0D">
        <w:rPr>
          <w:sz w:val="24"/>
          <w:szCs w:val="24"/>
        </w:rPr>
        <w:br/>
        <w:t>§ 1º O mandato será, no máximo, de dois anos. O Regimento Interno poderá prever a recondução dos integrantes da JARI por períodos sucessivos.</w:t>
      </w:r>
    </w:p>
    <w:p w14:paraId="09ECAD70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13 – A JARI deverá informar ao Conselho Estadual de Trânsito (CETRAN) a sua composição e encaminhará o seu regimento interno, observada a Resolução 357/2010, que estabelece as diretrizes para elaboração do regimento interno da JARI.</w:t>
      </w:r>
    </w:p>
    <w:p w14:paraId="57C65E9A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14 – Fica o Poder Executivo autorizado a firmar convênios com a União, Estados, Municípios, órgãos e demais entidades públicas e privadas, objetivando a perfeita aplicação desta lei.</w:t>
      </w:r>
    </w:p>
    <w:p w14:paraId="70282DA2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15 – Fica o Poder Executivo autorizado a realizar concurso público para os cargos de agentes de trânsito e demais cargos para o bom andamento da SUTRAN.</w:t>
      </w:r>
    </w:p>
    <w:p w14:paraId="506B8B13" w14:textId="77777777" w:rsidR="00B54F79" w:rsidRPr="002D2E0D" w:rsidRDefault="00000000">
      <w:pPr>
        <w:spacing w:before="240" w:after="240"/>
        <w:rPr>
          <w:sz w:val="24"/>
          <w:szCs w:val="24"/>
        </w:rPr>
      </w:pPr>
      <w:r w:rsidRPr="002D2E0D">
        <w:rPr>
          <w:sz w:val="24"/>
          <w:szCs w:val="24"/>
        </w:rPr>
        <w:t>Art. 16 – Esta Lei entrará em vigor na data de sua publicação, revogadas as disposições em contrário.</w:t>
      </w:r>
    </w:p>
    <w:p w14:paraId="5A641242" w14:textId="0D5486A1" w:rsidR="002D2E0D" w:rsidRPr="002D2E0D" w:rsidRDefault="00000000">
      <w:pPr>
        <w:spacing w:before="240" w:after="240"/>
        <w:jc w:val="center"/>
        <w:rPr>
          <w:sz w:val="24"/>
          <w:szCs w:val="24"/>
        </w:rPr>
      </w:pPr>
      <w:r w:rsidRPr="002D2E0D">
        <w:rPr>
          <w:sz w:val="24"/>
          <w:szCs w:val="24"/>
        </w:rPr>
        <w:lastRenderedPageBreak/>
        <w:t>Gabinete, aos [Data de Assinatura] de 2025.</w:t>
      </w:r>
      <w:r w:rsidRPr="002D2E0D">
        <w:rPr>
          <w:sz w:val="24"/>
          <w:szCs w:val="24"/>
        </w:rPr>
        <w:br/>
      </w:r>
    </w:p>
    <w:p w14:paraId="75354646" w14:textId="77777777" w:rsidR="002D2E0D" w:rsidRPr="002D2E0D" w:rsidRDefault="002D2E0D">
      <w:pPr>
        <w:spacing w:before="240" w:after="240"/>
        <w:jc w:val="center"/>
        <w:rPr>
          <w:sz w:val="24"/>
          <w:szCs w:val="24"/>
        </w:rPr>
      </w:pPr>
    </w:p>
    <w:p w14:paraId="48C32F0B" w14:textId="7DE92B76" w:rsidR="00B54F79" w:rsidRPr="002D2E0D" w:rsidRDefault="00000000">
      <w:pPr>
        <w:spacing w:before="240" w:after="240"/>
        <w:jc w:val="center"/>
        <w:rPr>
          <w:sz w:val="24"/>
          <w:szCs w:val="24"/>
        </w:rPr>
      </w:pPr>
      <w:r w:rsidRPr="002D2E0D">
        <w:rPr>
          <w:sz w:val="24"/>
          <w:szCs w:val="24"/>
        </w:rPr>
        <w:t>Eduardo Oliveira Brasileiro</w:t>
      </w:r>
      <w:r w:rsidRPr="002D2E0D">
        <w:rPr>
          <w:sz w:val="24"/>
          <w:szCs w:val="24"/>
        </w:rPr>
        <w:br/>
        <w:t>Prefeito Municipal</w:t>
      </w:r>
    </w:p>
    <w:p w14:paraId="63AAFCFD" w14:textId="77777777" w:rsidR="00B54F79" w:rsidRPr="002D2E0D" w:rsidRDefault="00B54F79">
      <w:pPr>
        <w:rPr>
          <w:sz w:val="24"/>
          <w:szCs w:val="24"/>
        </w:rPr>
      </w:pPr>
    </w:p>
    <w:sectPr w:rsidR="00B54F79" w:rsidRPr="002D2E0D" w:rsidSect="002D2E0D">
      <w:headerReference w:type="default" r:id="rId7"/>
      <w:pgSz w:w="11909" w:h="16834"/>
      <w:pgMar w:top="1440" w:right="1440" w:bottom="1440" w:left="1440" w:header="426" w:footer="720" w:gutter="0"/>
      <w:pgNumType w:start="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A78BD6" w14:textId="77777777" w:rsidR="001B1ABA" w:rsidRDefault="001B1ABA">
      <w:pPr>
        <w:spacing w:line="240" w:lineRule="auto"/>
      </w:pPr>
      <w:r>
        <w:separator/>
      </w:r>
    </w:p>
  </w:endnote>
  <w:endnote w:type="continuationSeparator" w:id="0">
    <w:p w14:paraId="2B110A51" w14:textId="77777777" w:rsidR="001B1ABA" w:rsidRDefault="001B1A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9D663B" w14:textId="77777777" w:rsidR="001B1ABA" w:rsidRDefault="001B1ABA">
      <w:pPr>
        <w:spacing w:line="240" w:lineRule="auto"/>
      </w:pPr>
      <w:r>
        <w:separator/>
      </w:r>
    </w:p>
  </w:footnote>
  <w:footnote w:type="continuationSeparator" w:id="0">
    <w:p w14:paraId="25B1EE2B" w14:textId="77777777" w:rsidR="001B1ABA" w:rsidRDefault="001B1AB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22D34" w14:textId="785CA735" w:rsidR="002D2E0D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9C2382A" wp14:editId="5AF18424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15210391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18"/>
        <w:szCs w:val="18"/>
      </w:rPr>
      <w:t xml:space="preserve">                </w:t>
    </w:r>
  </w:p>
  <w:p w14:paraId="35CD17CE" w14:textId="77777777" w:rsidR="002D2E0D" w:rsidRPr="003267CF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             </w:t>
    </w:r>
    <w:r w:rsidRPr="003267CF">
      <w:rPr>
        <w:b/>
        <w:sz w:val="40"/>
        <w:szCs w:val="40"/>
      </w:rPr>
      <w:t>CÂMARA MUNICIPAL DE ALMENARA</w:t>
    </w:r>
  </w:p>
  <w:p w14:paraId="181713AD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ESTADO DE MINAS GERAIS - CNPJ: 22.699.045/0001-39</w:t>
    </w:r>
  </w:p>
  <w:p w14:paraId="485AA585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PRAÇA HÉLIO ROCHA GUIMARÃES, Nº 28 –CENTRO</w:t>
    </w:r>
  </w:p>
  <w:p w14:paraId="588CB8B4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sz w:val="18"/>
          <w:szCs w:val="18"/>
        </w:rPr>
        <w:t>cm.almenara@hotmail.com</w:t>
      </w:r>
    </w:hyperlink>
  </w:p>
  <w:p w14:paraId="2996C5FB" w14:textId="77777777" w:rsidR="002D2E0D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  <w:p w14:paraId="25465A51" w14:textId="4707267F" w:rsidR="002D2E0D" w:rsidRDefault="002D2E0D">
    <w:pPr>
      <w:pStyle w:val="Cabealho"/>
    </w:pPr>
  </w:p>
  <w:p w14:paraId="0760830A" w14:textId="77777777" w:rsidR="002D2E0D" w:rsidRDefault="002D2E0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79"/>
    <w:rsid w:val="001B1ABA"/>
    <w:rsid w:val="002D2E0D"/>
    <w:rsid w:val="005B2B98"/>
    <w:rsid w:val="00B24291"/>
    <w:rsid w:val="00B54F79"/>
    <w:rsid w:val="00D5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93A08"/>
  <w15:docId w15:val="{83E3C055-BFCC-4ABC-A44A-0B6CA7E6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uiPriority w:val="1"/>
    <w:qFormat/>
    <w:pPr>
      <w:spacing w:line="240" w:lineRule="auto"/>
    </w:p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2D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1618</Words>
  <Characters>8738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5</cp:revision>
  <dcterms:created xsi:type="dcterms:W3CDTF">2025-07-03T17:09:00Z</dcterms:created>
  <dcterms:modified xsi:type="dcterms:W3CDTF">2025-07-03T17:29:00Z</dcterms:modified>
</cp:coreProperties>
</file>